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F5819">
      <w:pPr>
        <w:rPr>
          <w:rFonts w:ascii="Times New Roman" w:hAnsi="Times New Roman" w:eastAsia="Calibri"/>
          <w:sz w:val="28"/>
          <w:szCs w:val="28"/>
        </w:rPr>
      </w:pPr>
    </w:p>
    <w:p w14:paraId="0ECA20FC">
      <w:pPr>
        <w:jc w:val="center"/>
        <w:rPr>
          <w:rFonts w:ascii="Times New Roman" w:hAnsi="Times New Roman" w:eastAsia="Calibri"/>
          <w:sz w:val="28"/>
          <w:szCs w:val="28"/>
        </w:rPr>
      </w:pPr>
    </w:p>
    <w:p w14:paraId="2404B69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ДЕПАРТАМЕНТ КУЛЬТУРЫ ГОРОДА МОСКВЫ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>Государственное бюджетное учреждение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>дополнительного образования города Москвы</w:t>
      </w:r>
      <w:r>
        <w:rPr>
          <w:rFonts w:ascii="Times New Roman" w:hAnsi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</w:rPr>
        <w:t>«Детская музыкальная школа имени Р.М.Глиэра»</w:t>
      </w:r>
    </w:p>
    <w:p w14:paraId="584E5083">
      <w:pPr>
        <w:jc w:val="center"/>
        <w:rPr>
          <w:rFonts w:ascii="Times New Roman" w:hAnsi="Times New Roman"/>
          <w:sz w:val="28"/>
          <w:szCs w:val="28"/>
        </w:rPr>
      </w:pPr>
    </w:p>
    <w:p w14:paraId="6FA2543B">
      <w:pPr>
        <w:jc w:val="center"/>
        <w:rPr>
          <w:rFonts w:ascii="Times New Roman" w:hAnsi="Times New Roman"/>
          <w:sz w:val="28"/>
          <w:szCs w:val="28"/>
        </w:rPr>
      </w:pPr>
    </w:p>
    <w:p w14:paraId="22E70A7E">
      <w:pPr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УТВЕРЖДЕНА</w:t>
      </w:r>
    </w:p>
    <w:p w14:paraId="700092DA">
      <w:pPr>
        <w:ind w:firstLine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приказом Государственного бюджетного </w:t>
      </w:r>
    </w:p>
    <w:p w14:paraId="0C6041C9">
      <w:pPr>
        <w:ind w:firstLine="24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учреждения дополнительного образования города Москвы </w:t>
      </w:r>
    </w:p>
    <w:p w14:paraId="1BE04FA5">
      <w:pPr>
        <w:ind w:firstLine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«Детская музыкальная школа имени Р.М.Глиэра» </w:t>
      </w:r>
    </w:p>
    <w:p w14:paraId="30017B71">
      <w:pPr>
        <w:ind w:firstLine="41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2</w:t>
      </w:r>
      <w:r>
        <w:rPr>
          <w:rFonts w:hint="default"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</w:rPr>
        <w:t xml:space="preserve"> августа 202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 xml:space="preserve"> г. № 5</w:t>
      </w:r>
      <w:r>
        <w:rPr>
          <w:rFonts w:hint="default"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>/ОД</w:t>
      </w:r>
    </w:p>
    <w:p w14:paraId="51E46A1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6FC99A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5A850D8F">
      <w:pPr>
        <w:ind w:firstLine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ОДОБРЕНА: </w:t>
      </w:r>
    </w:p>
    <w:p w14:paraId="46D2B8C6">
      <w:pPr>
        <w:ind w:firstLine="39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Педагогическим советом </w:t>
      </w:r>
    </w:p>
    <w:p w14:paraId="0D991293">
      <w:pPr>
        <w:tabs>
          <w:tab w:val="left" w:pos="15140"/>
        </w:tabs>
        <w:spacing w:line="200" w:lineRule="atLeast"/>
        <w:ind w:right="1275" w:firstLine="396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протокол № 1 </w:t>
      </w:r>
      <w:r>
        <w:rPr>
          <w:rFonts w:ascii="Times New Roman" w:hAnsi="Times New Roman"/>
          <w:sz w:val="28"/>
          <w:szCs w:val="28"/>
        </w:rPr>
        <w:t>от 2</w:t>
      </w:r>
      <w:r>
        <w:rPr>
          <w:rFonts w:hint="default"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</w:rPr>
        <w:t>.08.202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03BE1B1B">
      <w:pPr>
        <w:rPr>
          <w:rFonts w:ascii="Times New Roman" w:hAnsi="Times New Roman" w:eastAsia="Times New Roman" w:cs="Times New Roman"/>
          <w:sz w:val="28"/>
          <w:szCs w:val="28"/>
        </w:rPr>
      </w:pPr>
    </w:p>
    <w:p w14:paraId="10850E19">
      <w:pPr>
        <w:rPr>
          <w:rFonts w:ascii="Times New Roman" w:hAnsi="Times New Roman" w:eastAsia="Times New Roman" w:cs="Times New Roman"/>
          <w:sz w:val="28"/>
          <w:szCs w:val="28"/>
        </w:rPr>
      </w:pPr>
    </w:p>
    <w:p w14:paraId="265F0E4F">
      <w:pPr>
        <w:rPr>
          <w:rFonts w:ascii="Times New Roman" w:hAnsi="Times New Roman" w:eastAsia="Times New Roman" w:cs="Times New Roman"/>
          <w:sz w:val="28"/>
          <w:szCs w:val="28"/>
        </w:rPr>
      </w:pPr>
    </w:p>
    <w:p w14:paraId="12575521">
      <w:pPr>
        <w:rPr>
          <w:rFonts w:ascii="Times New Roman" w:hAnsi="Times New Roman" w:eastAsia="Times New Roman" w:cs="Times New Roman"/>
          <w:sz w:val="28"/>
          <w:szCs w:val="28"/>
        </w:rPr>
      </w:pPr>
    </w:p>
    <w:p w14:paraId="13CEE9E5">
      <w:pPr>
        <w:rPr>
          <w:rFonts w:ascii="Times New Roman" w:hAnsi="Times New Roman" w:eastAsia="Times New Roman" w:cs="Times New Roman"/>
          <w:sz w:val="28"/>
          <w:szCs w:val="28"/>
        </w:rPr>
      </w:pPr>
    </w:p>
    <w:p w14:paraId="1DBB5467">
      <w:pPr>
        <w:rPr>
          <w:rFonts w:ascii="Times New Roman" w:hAnsi="Times New Roman" w:eastAsia="Times New Roman" w:cs="Times New Roman"/>
          <w:sz w:val="28"/>
          <w:szCs w:val="28"/>
        </w:rPr>
      </w:pPr>
    </w:p>
    <w:p w14:paraId="540D4750">
      <w:pPr>
        <w:rPr>
          <w:rFonts w:ascii="Times New Roman" w:hAnsi="Times New Roman" w:eastAsia="Times New Roman" w:cs="Times New Roman"/>
          <w:sz w:val="28"/>
          <w:szCs w:val="28"/>
        </w:rPr>
      </w:pPr>
    </w:p>
    <w:p w14:paraId="477733FD">
      <w:pPr>
        <w:rPr>
          <w:rFonts w:ascii="Times New Roman" w:hAnsi="Times New Roman" w:eastAsia="Times New Roman" w:cs="Times New Roman"/>
          <w:sz w:val="28"/>
          <w:szCs w:val="28"/>
        </w:rPr>
      </w:pPr>
    </w:p>
    <w:p w14:paraId="591FFEEB">
      <w:pPr>
        <w:pStyle w:val="6"/>
        <w:shd w:val="clear" w:color="auto" w:fill="auto"/>
        <w:spacing w:line="240" w:lineRule="auto"/>
        <w:ind w:firstLine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Программа по предмету </w:t>
      </w:r>
    </w:p>
    <w:p w14:paraId="4BEE594A">
      <w:pPr>
        <w:pStyle w:val="6"/>
        <w:shd w:val="clear" w:color="auto" w:fill="auto"/>
        <w:spacing w:line="240" w:lineRule="auto"/>
        <w:ind w:firstLine="0"/>
        <w:rPr>
          <w:b/>
          <w:sz w:val="36"/>
          <w:szCs w:val="36"/>
        </w:rPr>
      </w:pPr>
      <w:r>
        <w:rPr>
          <w:b/>
          <w:sz w:val="36"/>
          <w:szCs w:val="36"/>
        </w:rPr>
        <w:t>«Хореография»</w:t>
      </w:r>
    </w:p>
    <w:p w14:paraId="1EBA3F25">
      <w:pPr>
        <w:pStyle w:val="6"/>
        <w:shd w:val="clear" w:color="auto" w:fill="auto"/>
        <w:spacing w:line="240" w:lineRule="auto"/>
        <w:ind w:firstLine="0"/>
        <w:rPr>
          <w:sz w:val="28"/>
          <w:szCs w:val="28"/>
        </w:rPr>
      </w:pPr>
    </w:p>
    <w:p w14:paraId="7773C9FB">
      <w:pPr>
        <w:pStyle w:val="6"/>
        <w:shd w:val="clear" w:color="auto" w:fill="auto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Срок реализации 2 года,</w:t>
      </w:r>
    </w:p>
    <w:p w14:paraId="0E947B45">
      <w:pPr>
        <w:pStyle w:val="6"/>
        <w:shd w:val="clear" w:color="auto" w:fill="auto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для детей в возрасте от 3 до 6 лет.</w:t>
      </w:r>
    </w:p>
    <w:p w14:paraId="01DB21C6">
      <w:pPr>
        <w:pStyle w:val="6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14:paraId="72166AF8">
      <w:pPr>
        <w:pStyle w:val="6"/>
        <w:shd w:val="clear" w:color="auto" w:fill="auto"/>
        <w:spacing w:line="240" w:lineRule="auto"/>
        <w:ind w:firstLine="0"/>
        <w:rPr>
          <w:b/>
          <w:sz w:val="28"/>
          <w:szCs w:val="28"/>
        </w:rPr>
      </w:pPr>
    </w:p>
    <w:p w14:paraId="534D2957">
      <w:pPr>
        <w:pStyle w:val="6"/>
        <w:shd w:val="clear" w:color="auto" w:fill="auto"/>
        <w:spacing w:line="240" w:lineRule="auto"/>
        <w:ind w:firstLine="0"/>
        <w:jc w:val="left"/>
        <w:rPr>
          <w:b/>
          <w:sz w:val="28"/>
          <w:szCs w:val="28"/>
        </w:rPr>
      </w:pPr>
    </w:p>
    <w:p w14:paraId="03768087">
      <w:pPr>
        <w:pStyle w:val="6"/>
        <w:shd w:val="clear" w:color="auto" w:fill="auto"/>
        <w:spacing w:line="240" w:lineRule="auto"/>
        <w:ind w:firstLine="0"/>
        <w:jc w:val="right"/>
        <w:rPr>
          <w:b/>
          <w:sz w:val="28"/>
          <w:szCs w:val="28"/>
        </w:rPr>
      </w:pPr>
    </w:p>
    <w:p w14:paraId="74248D58">
      <w:pPr>
        <w:pStyle w:val="6"/>
        <w:shd w:val="clear" w:color="auto" w:fill="auto"/>
        <w:spacing w:line="240" w:lineRule="auto"/>
        <w:ind w:firstLine="0"/>
        <w:jc w:val="right"/>
        <w:rPr>
          <w:b/>
          <w:sz w:val="28"/>
          <w:szCs w:val="28"/>
        </w:rPr>
      </w:pPr>
    </w:p>
    <w:p w14:paraId="5492FF59">
      <w:pPr>
        <w:pStyle w:val="6"/>
        <w:shd w:val="clear" w:color="auto" w:fill="auto"/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Составитель: преподаватель ДМШ им. Р.М.Глиэра</w:t>
      </w:r>
    </w:p>
    <w:p w14:paraId="0CE69B2B">
      <w:pPr>
        <w:pStyle w:val="6"/>
        <w:shd w:val="clear" w:color="auto" w:fill="auto"/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Коломоец Е.В. на основании примерной программы</w:t>
      </w:r>
    </w:p>
    <w:p w14:paraId="31E21A5B">
      <w:pPr>
        <w:pStyle w:val="6"/>
        <w:shd w:val="clear" w:color="auto" w:fill="auto"/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Домогацкой И.Е., Шатковской Н.В.,</w:t>
      </w:r>
    </w:p>
    <w:p w14:paraId="59A405D0">
      <w:pPr>
        <w:pStyle w:val="6"/>
        <w:shd w:val="clear" w:color="auto" w:fill="auto"/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Шатковской-Айзенберг Т.Г.</w:t>
      </w:r>
    </w:p>
    <w:p w14:paraId="07774DA3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id="0" w:name="_GoBack"/>
      <w:bookmarkEnd w:id="0"/>
    </w:p>
    <w:p w14:paraId="27138AA6">
      <w:pPr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26075277">
      <w:pPr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</w:rPr>
        <w:t>-202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учебный год</w:t>
      </w:r>
    </w:p>
    <w:p w14:paraId="0504F8C7">
      <w:pPr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5760C92F">
      <w:pPr>
        <w:widowControl/>
        <w:spacing w:after="200" w:line="360" w:lineRule="auto"/>
        <w:jc w:val="both"/>
        <w:rPr>
          <w:rFonts w:ascii="Times New Roman" w:hAnsi="Times New Roman" w:cs="Times New Roman" w:eastAsiaTheme="minorHAnsi"/>
          <w:b/>
          <w:color w:val="auto"/>
          <w:sz w:val="36"/>
          <w:szCs w:val="36"/>
          <w:lang w:eastAsia="en-US" w:bidi="ar-SA"/>
        </w:rPr>
      </w:pPr>
      <w:r>
        <w:rPr>
          <w:rFonts w:ascii="Times New Roman" w:hAnsi="Times New Roman" w:cs="Times New Roman" w:eastAsiaTheme="minorHAnsi"/>
          <w:b/>
          <w:color w:val="auto"/>
          <w:sz w:val="36"/>
          <w:szCs w:val="36"/>
          <w:lang w:eastAsia="en-US" w:bidi="ar-SA"/>
        </w:rPr>
        <w:t>Содержание программы</w:t>
      </w:r>
    </w:p>
    <w:p w14:paraId="4EAB46B4">
      <w:pPr>
        <w:widowControl/>
        <w:spacing w:after="200" w:line="360" w:lineRule="auto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  <w:t>1. Пояснительная записка.</w:t>
      </w:r>
    </w:p>
    <w:p w14:paraId="0824F3DF">
      <w:pPr>
        <w:widowControl/>
        <w:spacing w:after="200" w:line="360" w:lineRule="auto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  <w:t>2. Цель и задачи программы.</w:t>
      </w:r>
    </w:p>
    <w:p w14:paraId="77FE287E">
      <w:pPr>
        <w:widowControl/>
        <w:spacing w:after="200" w:line="360" w:lineRule="auto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  <w:t>3. Раздел 1: Ритмика.</w:t>
      </w:r>
    </w:p>
    <w:p w14:paraId="278EB99E">
      <w:pPr>
        <w:widowControl/>
        <w:spacing w:after="200" w:line="360" w:lineRule="auto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  <w:t>4. Раздел 2: Танец.</w:t>
      </w:r>
    </w:p>
    <w:p w14:paraId="052D3D18">
      <w:pPr>
        <w:widowControl/>
        <w:spacing w:after="200" w:line="360" w:lineRule="auto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  <w:t>5. Раздел 3: Гимнастика.</w:t>
      </w:r>
    </w:p>
    <w:p w14:paraId="72638189">
      <w:pPr>
        <w:widowControl/>
        <w:spacing w:after="200"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</w:p>
    <w:p w14:paraId="61072A52">
      <w:pPr>
        <w:widowControl/>
        <w:spacing w:after="200"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sectPr>
          <w:footerReference r:id="rId5" w:type="default"/>
          <w:type w:val="continuous"/>
          <w:pgSz w:w="11906" w:h="16838"/>
          <w:pgMar w:top="1134" w:right="566" w:bottom="1134" w:left="1134" w:header="708" w:footer="708" w:gutter="0"/>
          <w:cols w:space="708" w:num="1"/>
          <w:docGrid w:linePitch="360" w:charSpace="0"/>
        </w:sectPr>
      </w:pPr>
    </w:p>
    <w:p w14:paraId="51038DF7">
      <w:pPr>
        <w:widowControl/>
        <w:spacing w:line="360" w:lineRule="auto"/>
        <w:ind w:firstLine="426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  <w:t xml:space="preserve">1. Пояснительная записка. </w:t>
      </w:r>
    </w:p>
    <w:p w14:paraId="7564F074">
      <w:pPr>
        <w:widowControl/>
        <w:spacing w:line="360" w:lineRule="auto"/>
        <w:ind w:firstLine="567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Предмет «Хореография» является неотъемлемой частью комплексной программы группы раннего эстетического развития «Щелкунчик». Обучение детей по данной программе, предполагающей изучение основ танцевальной культуры, умение красиво и пластично двигаться под различные танцевальные ритмы и темпы музыки, сопутствует физическому развитию и повышению уровня общего образования и культуры детей.</w:t>
      </w:r>
    </w:p>
    <w:p w14:paraId="00A6EDD9">
      <w:pPr>
        <w:widowControl/>
        <w:spacing w:line="360" w:lineRule="auto"/>
        <w:ind w:firstLine="567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Хореография как никакое другое искусство обладает огромными возможностями для полноценного эстетического совершенствования ребенка, для его гармоничного духовного и физического развития. Танец является богатейшим источником эстетических впечатлений ребенка, формирует его художественное «я». </w:t>
      </w:r>
    </w:p>
    <w:p w14:paraId="7D66283E">
      <w:pPr>
        <w:widowControl/>
        <w:spacing w:line="360" w:lineRule="auto"/>
        <w:ind w:firstLine="567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Синкретичность танцевального искусства подразумевает развитие чувства ритма, умения слышать и понимать музыку, согласовывать с ней свои движения, одновременно развивать и тренировать мышечную силу корпуса     и ног, пластику рук, грацию и выразительность. Используемые в хореографии, ритмике движения, прошедшие длительный отбор, безусловно, оказывают положительное воздействие на здоровье детей. </w:t>
      </w:r>
    </w:p>
    <w:p w14:paraId="021A228F">
      <w:pPr>
        <w:widowControl/>
        <w:spacing w:line="360" w:lineRule="auto"/>
        <w:ind w:firstLine="567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Музыкально-ритмическая деятельность привлекает детей своей эмоциональностью, возможностью активно выразить свое отношение               к музыке в движении. Учитывая возрастные особенности детей, их запросы     и интересы занятия хореографией проводятся в игровой форме, большое внимание уделяется музыкальным играм, импровизации. В музыкальных играх, создавая тот или иной образ, дети слышат в музыке и передают               в движении разнообразные чувства.</w:t>
      </w:r>
    </w:p>
    <w:p w14:paraId="3DDB771E">
      <w:pPr>
        <w:widowControl/>
        <w:spacing w:line="360" w:lineRule="auto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  <w:sectPr>
          <w:pgSz w:w="11906" w:h="16838"/>
          <w:pgMar w:top="1134" w:right="707" w:bottom="1134" w:left="1701" w:header="708" w:footer="708" w:gutter="0"/>
          <w:cols w:space="708" w:num="1"/>
          <w:docGrid w:linePitch="360" w:charSpace="0"/>
        </w:sectPr>
      </w:pPr>
    </w:p>
    <w:p w14:paraId="4AB63AA7">
      <w:pPr>
        <w:widowControl/>
        <w:spacing w:line="360" w:lineRule="auto"/>
        <w:ind w:firstLine="567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  <w:t>2. Цель и задачи программы.</w:t>
      </w:r>
    </w:p>
    <w:p w14:paraId="1185590A">
      <w:pPr>
        <w:spacing w:line="360" w:lineRule="auto"/>
        <w:ind w:firstLine="720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программы: 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Формирование творческих способностей у детей дошкольного возраста в процессе музыкально-ритмической деятельности         в условиях сюжетно-игровых занятий.</w:t>
      </w:r>
    </w:p>
    <w:p w14:paraId="62218E58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931E79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Задачи психологические:</w:t>
      </w:r>
    </w:p>
    <w:p w14:paraId="012DAA6C">
      <w:pPr>
        <w:widowControl/>
        <w:spacing w:after="200"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Формирование способности подчинять свои действия требованиям преподавателя.</w:t>
      </w:r>
    </w:p>
    <w:p w14:paraId="0DD79FF7">
      <w:pPr>
        <w:widowControl/>
        <w:spacing w:after="200"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Развитие эмоционального восприятия.</w:t>
      </w:r>
    </w:p>
    <w:p w14:paraId="3F6F3A67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Задачи музыкальные:</w:t>
      </w:r>
    </w:p>
    <w:p w14:paraId="46A23729">
      <w:pPr>
        <w:widowControl/>
        <w:spacing w:after="200"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Восприятие и передача темпов.</w:t>
      </w:r>
    </w:p>
    <w:p w14:paraId="55F691CC">
      <w:pPr>
        <w:widowControl/>
        <w:spacing w:after="200"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Воспроизведение акцентированных и неакцентированных звуков (долей), составляющих основу музыкального метра.</w:t>
      </w:r>
    </w:p>
    <w:p w14:paraId="3B6EB4D7">
      <w:pPr>
        <w:widowControl/>
        <w:spacing w:after="200"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Формирование осознанного восприятия чередования длительностей               и передача их в движении.</w:t>
      </w:r>
    </w:p>
    <w:p w14:paraId="415CB6E3">
      <w:pPr>
        <w:widowControl/>
        <w:spacing w:after="200"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Развитие слуховых качеств:</w:t>
      </w:r>
    </w:p>
    <w:p w14:paraId="27B19421">
      <w:pPr>
        <w:widowControl/>
        <w:spacing w:line="360" w:lineRule="auto"/>
        <w:ind w:left="720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определение разделов формы: часть, фраза, музыкальное вступление;</w:t>
      </w:r>
    </w:p>
    <w:p w14:paraId="035747CF">
      <w:pPr>
        <w:widowControl/>
        <w:spacing w:line="360" w:lineRule="auto"/>
        <w:ind w:left="720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расширение представлений о динамике (крещендо – диминуэндо).</w:t>
      </w:r>
    </w:p>
    <w:p w14:paraId="75030F0B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Задачи двигательные.</w:t>
      </w:r>
    </w:p>
    <w:p w14:paraId="3F616EDD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Совершенствование навыков основных движений (различные виды ходьбы, бега, подскоков, галопа), исполняемых под музыку в разных музыкальных размерах.</w:t>
      </w:r>
    </w:p>
    <w:p w14:paraId="2A1BA049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Обучение элементам танца (народного, классического, современного, историко-бытового).</w:t>
      </w:r>
    </w:p>
    <w:p w14:paraId="0E689ABA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</w:p>
    <w:p w14:paraId="18FD5111">
      <w:pPr>
        <w:widowControl/>
        <w:spacing w:line="360" w:lineRule="auto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</w:pPr>
    </w:p>
    <w:p w14:paraId="758AAF48">
      <w:pPr>
        <w:widowControl/>
        <w:spacing w:line="360" w:lineRule="auto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</w:pPr>
    </w:p>
    <w:p w14:paraId="0DB3A7F1">
      <w:pPr>
        <w:widowControl/>
        <w:spacing w:line="360" w:lineRule="auto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  <w:t>3. Раздел 1: Ритмика.</w:t>
      </w:r>
    </w:p>
    <w:p w14:paraId="7AEB83C7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Характер музыки:</w:t>
      </w:r>
    </w:p>
    <w:p w14:paraId="74D69128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умение слушать музыку и определять ее характер (маршевый, спокойный, плясовой) и двигаться в соответствии с ним;</w:t>
      </w:r>
    </w:p>
    <w:p w14:paraId="1E917E47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умение определять музыкальные регистры (высокий, низкий) и изменять направление движения в соответствии с их изменением.</w:t>
      </w:r>
    </w:p>
    <w:p w14:paraId="6381C0BF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Динамика:</w:t>
      </w:r>
    </w:p>
    <w:p w14:paraId="29E012F8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- понятие 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val="en-US" w:eastAsia="en-US" w:bidi="ar-SA"/>
        </w:rPr>
        <w:t>forte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 (громко);</w:t>
      </w:r>
    </w:p>
    <w:p w14:paraId="0009CD74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- понятие 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val="en-US" w:eastAsia="en-US" w:bidi="ar-SA"/>
        </w:rPr>
        <w:t>piano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 (тихо).</w:t>
      </w:r>
    </w:p>
    <w:p w14:paraId="4333719B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Темп:</w:t>
      </w:r>
    </w:p>
    <w:p w14:paraId="134B23C3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умение различать скорость музыкального движения (быстро, медленно).</w:t>
      </w:r>
    </w:p>
    <w:p w14:paraId="63297D4A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Метроритм:</w:t>
      </w:r>
    </w:p>
    <w:p w14:paraId="52C3B4BB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умение определить сильные и слабые доли такта;</w:t>
      </w:r>
    </w:p>
    <w:p w14:paraId="16E91DB8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умение слышать и передавать в движении музыкальную пульсацию;</w:t>
      </w:r>
    </w:p>
    <w:p w14:paraId="6052F791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умение определить на слух паузу;</w:t>
      </w:r>
    </w:p>
    <w:p w14:paraId="270D15E6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знакомство с музыкальными произведениями, написанными в двух-               и трехдольном размерах.</w:t>
      </w:r>
    </w:p>
    <w:p w14:paraId="02A60ACC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Строение музыкального произведения:</w:t>
      </w:r>
    </w:p>
    <w:p w14:paraId="4BEC21B0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фраза;</w:t>
      </w:r>
    </w:p>
    <w:p w14:paraId="00C1405A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начало и окончание музыкальной фразы.</w:t>
      </w:r>
    </w:p>
    <w:p w14:paraId="3F9BDAD4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Длительности. Ритмический рисунок:</w:t>
      </w:r>
    </w:p>
    <w:p w14:paraId="55ED5565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целые, половинные.</w:t>
      </w:r>
    </w:p>
    <w:p w14:paraId="57FF9C8E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ритмические игры и игровые этюды, включающие программный материал.</w:t>
      </w:r>
    </w:p>
    <w:p w14:paraId="17A6B727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Маршевая и танцевальная музыка:</w:t>
      </w:r>
    </w:p>
    <w:p w14:paraId="51ADC3F8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движение в характере марша и танцевальной музыки (полька, вальс, галоп) по заданию преподавателя или импровизация.</w:t>
      </w:r>
    </w:p>
    <w:p w14:paraId="61225B75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</w:p>
    <w:p w14:paraId="24C703FF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</w:p>
    <w:p w14:paraId="29FAD9BF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</w:p>
    <w:p w14:paraId="2F64556E">
      <w:pPr>
        <w:widowControl/>
        <w:spacing w:line="360" w:lineRule="auto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  <w:t>4. Раздел 2: Танец.</w:t>
      </w:r>
    </w:p>
    <w:p w14:paraId="11573C15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Шаги и бег (в продвижении вперед):</w:t>
      </w:r>
    </w:p>
    <w:p w14:paraId="67615DE0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бытовой;</w:t>
      </w:r>
    </w:p>
    <w:p w14:paraId="2932B7ED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танцевальный с носка;</w:t>
      </w:r>
    </w:p>
    <w:p w14:paraId="6CA0DFBE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на полупальцах;</w:t>
      </w:r>
    </w:p>
    <w:p w14:paraId="4C464798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с высоко поднятым коленом;</w:t>
      </w:r>
    </w:p>
    <w:p w14:paraId="682AC75E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легкий бег на полупальцах;</w:t>
      </w:r>
    </w:p>
    <w:p w14:paraId="6B1F8BC2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бег с поднятым коленом «лошадки»;</w:t>
      </w:r>
    </w:p>
    <w:p w14:paraId="28A9744B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бег с захлестом голени назад.</w:t>
      </w:r>
    </w:p>
    <w:p w14:paraId="4C2AB372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Позиции ног:</w:t>
      </w:r>
    </w:p>
    <w:p w14:paraId="28CA42D1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- 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val="en-US" w:eastAsia="en-US" w:bidi="ar-SA"/>
        </w:rPr>
        <w:t>I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 прямая (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val="en-US" w:eastAsia="en-US" w:bidi="ar-SA"/>
        </w:rPr>
        <w:t>VI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 позиция).</w:t>
      </w:r>
    </w:p>
    <w:p w14:paraId="4C36BA26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Элементы танцевальной азбуки:</w:t>
      </w:r>
    </w:p>
    <w:p w14:paraId="51226C4F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полуприседание (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val="en-US" w:eastAsia="en-US" w:bidi="ar-SA"/>
        </w:rPr>
        <w:t>demi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val="en-US" w:eastAsia="en-US" w:bidi="ar-SA"/>
        </w:rPr>
        <w:t>plie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) по прямой позиции («пружинки»);</w:t>
      </w:r>
    </w:p>
    <w:p w14:paraId="069E91DE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поднимание на полупальцы (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val="en-US" w:eastAsia="en-US" w:bidi="ar-SA"/>
        </w:rPr>
        <w:t>releve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) по 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val="en-US" w:eastAsia="en-US" w:bidi="ar-SA"/>
        </w:rPr>
        <w:t>I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 прямой позиции, в сочетании             с полуприседанием;</w:t>
      </w:r>
    </w:p>
    <w:p w14:paraId="0494A6BB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прыжки (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val="en-US" w:eastAsia="en-US" w:bidi="ar-SA"/>
        </w:rPr>
        <w:t>temps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val="en-US" w:eastAsia="en-US" w:bidi="ar-SA"/>
        </w:rPr>
        <w:t>leve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) на двух ногах по 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val="en-US" w:eastAsia="en-US" w:bidi="ar-SA"/>
        </w:rPr>
        <w:t>I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 прямой позиции;</w:t>
      </w:r>
    </w:p>
    <w:p w14:paraId="168BC7F0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движения для головы: повороты направо-налево в различном характере, вверх-вниз, наклоны вправо-влево к плечу;</w:t>
      </w:r>
    </w:p>
    <w:p w14:paraId="5AE45F71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ведение работающей согнутой ноги по опорной, сгибая ее в колене (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val="en-US" w:eastAsia="en-US" w:bidi="ar-SA"/>
        </w:rPr>
        <w:t>retire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)    по 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val="en-US" w:eastAsia="en-US" w:bidi="ar-SA"/>
        </w:rPr>
        <w:t>I</w:t>
      </w: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 прямой позиции как подготовка к подскокам.</w:t>
      </w:r>
    </w:p>
    <w:p w14:paraId="796C8464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Танцевальные элементы:</w:t>
      </w:r>
    </w:p>
    <w:p w14:paraId="7FED6AB2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наклоны вперед (поклоны);</w:t>
      </w:r>
    </w:p>
    <w:p w14:paraId="4E64227E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боковой шаг галопа, прямой шаг галопа;</w:t>
      </w:r>
    </w:p>
    <w:p w14:paraId="6E638670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подскоки;</w:t>
      </w:r>
    </w:p>
    <w:p w14:paraId="4057AB5F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хлопки в ладоши соло и в парах.</w:t>
      </w:r>
    </w:p>
    <w:p w14:paraId="2235E727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Элементы русского (национального) танца:</w:t>
      </w:r>
    </w:p>
    <w:p w14:paraId="71B588AD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положения рук русского танца (свободно опущенные вниз вдоль корпуса; кулачками на талии; под одну руку в паре);</w:t>
      </w:r>
    </w:p>
    <w:p w14:paraId="3A2C03A8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выставление ноги на каблук;</w:t>
      </w:r>
    </w:p>
    <w:p w14:paraId="3E2F84D6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-притопы;</w:t>
      </w:r>
    </w:p>
    <w:p w14:paraId="2E828338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-движения в паре.</w:t>
      </w:r>
    </w:p>
    <w:p w14:paraId="09DB0B54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Рисунки танца:</w:t>
      </w:r>
    </w:p>
    <w:p w14:paraId="332D13E7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понятие интервала в танце;</w:t>
      </w:r>
    </w:p>
    <w:p w14:paraId="59A94266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колонна;</w:t>
      </w:r>
    </w:p>
    <w:p w14:paraId="7D3F20C6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шеренга;</w:t>
      </w:r>
    </w:p>
    <w:p w14:paraId="11972B82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диагональ;</w:t>
      </w:r>
    </w:p>
    <w:p w14:paraId="76BA4CD9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круг.</w:t>
      </w:r>
    </w:p>
    <w:p w14:paraId="09B0F5DB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Перестроения в танце:</w:t>
      </w:r>
    </w:p>
    <w:p w14:paraId="42093A8F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повороты вправо и влево;</w:t>
      </w:r>
    </w:p>
    <w:p w14:paraId="6582642E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движение по линии танца и против линии танца;</w:t>
      </w:r>
    </w:p>
    <w:p w14:paraId="758F122A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движение по диагонали.</w:t>
      </w:r>
    </w:p>
    <w:p w14:paraId="1AC83E2F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Танцевальные этюды:</w:t>
      </w:r>
    </w:p>
    <w:p w14:paraId="01B79C56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этюд на основе русского хороводного танца;</w:t>
      </w:r>
    </w:p>
    <w:p w14:paraId="350AF1E6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этюд на шагах, подскоках, галопе.</w:t>
      </w:r>
    </w:p>
    <w:p w14:paraId="65D461C5">
      <w:pPr>
        <w:widowControl/>
        <w:spacing w:line="360" w:lineRule="auto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u w:val="single"/>
          <w:lang w:eastAsia="en-US" w:bidi="ar-SA"/>
        </w:rPr>
        <w:sectPr>
          <w:pgSz w:w="11906" w:h="16838"/>
          <w:pgMar w:top="1134" w:right="707" w:bottom="1134" w:left="1701" w:header="708" w:footer="708" w:gutter="0"/>
          <w:cols w:space="708" w:num="1"/>
          <w:docGrid w:linePitch="360" w:charSpace="0"/>
        </w:sectPr>
      </w:pPr>
    </w:p>
    <w:p w14:paraId="3FFDC673">
      <w:pPr>
        <w:widowControl/>
        <w:spacing w:line="360" w:lineRule="auto"/>
        <w:jc w:val="both"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 w:bidi="ar-SA"/>
        </w:rPr>
        <w:t>5. Раздел 3: Гимнастика.</w:t>
      </w:r>
    </w:p>
    <w:p w14:paraId="18A2D5EC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Упражнения для стоп:</w:t>
      </w:r>
    </w:p>
    <w:p w14:paraId="1D5B05DA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шаги на полупальцах, пятках, всей стопе;</w:t>
      </w:r>
    </w:p>
    <w:p w14:paraId="5F9AEB8D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сокращения и выпрямления стоп, лежа на полу;</w:t>
      </w:r>
    </w:p>
    <w:p w14:paraId="15539255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сокращение и выпрямление то одной то другой стопы по очереди, лежа       на полу.</w:t>
      </w:r>
    </w:p>
    <w:p w14:paraId="3757F0DF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Упражнения на развитие выворотности:</w:t>
      </w:r>
    </w:p>
    <w:p w14:paraId="5559C31E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разворачивание ног из прямого положения в выворотное, лежа на спине;</w:t>
      </w:r>
    </w:p>
    <w:p w14:paraId="1B2063E9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«лягушка»: сидя, лежа на спине, лежа на животе;</w:t>
      </w:r>
    </w:p>
    <w:p w14:paraId="7BC812CF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Упражнения на развитие гибкости вперед:</w:t>
      </w:r>
    </w:p>
    <w:p w14:paraId="66F793D3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«складочка» из положения сидя на полу;</w:t>
      </w:r>
    </w:p>
    <w:p w14:paraId="249D75C5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- наклоны вперед до касания руками пола. </w:t>
      </w:r>
    </w:p>
    <w:p w14:paraId="65FCCE8C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Упражнения на развитие гибкости назад:</w:t>
      </w:r>
    </w:p>
    <w:p w14:paraId="0C2F8F7F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«колечко» с глубоким перегибом назад до касания согнутыми ногами головы;</w:t>
      </w:r>
    </w:p>
    <w:p w14:paraId="7C381D09">
      <w:pPr>
        <w:widowControl/>
        <w:spacing w:line="360" w:lineRule="auto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«корзиночка» - сильный прогиб туловища вверх, руками удерживая себя       за щиколотки, из положения лежа на животе.</w:t>
      </w:r>
    </w:p>
    <w:p w14:paraId="7A2B4632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Упражнения для укрепления мышц брюшного пресса:</w:t>
      </w:r>
    </w:p>
    <w:p w14:paraId="0C4ACA15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поднимание двух ног одновременно и по очереди на 45 и 90 из положения лежа на спине;</w:t>
      </w:r>
    </w:p>
    <w:p w14:paraId="196C5068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 xml:space="preserve">- «уголок» поднимание ног на 45, сидя </w:t>
      </w:r>
    </w:p>
    <w:p w14:paraId="3B1DE0E3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Упражнения на укрепление мышц спины:</w:t>
      </w:r>
    </w:p>
    <w:p w14:paraId="3AC8AAB3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подъем и опускание туловища из положения лежа на животе;</w:t>
      </w:r>
    </w:p>
    <w:p w14:paraId="7C7D0969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«лодочка» - одновременное поднимание и опускание туловища и ног;</w:t>
      </w:r>
    </w:p>
    <w:p w14:paraId="2B4D683C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u w:val="single"/>
          <w:lang w:eastAsia="en-US" w:bidi="ar-SA"/>
        </w:rPr>
        <w:t>Упражнения на развитие шага:</w:t>
      </w:r>
    </w:p>
    <w:p w14:paraId="00897669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растяжка в «шпагат» по 2 позиции.</w:t>
      </w:r>
    </w:p>
    <w:p w14:paraId="2B9794FE">
      <w:pPr>
        <w:widowControl/>
        <w:spacing w:line="360" w:lineRule="auto"/>
        <w:jc w:val="both"/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color w:val="auto"/>
          <w:sz w:val="28"/>
          <w:szCs w:val="28"/>
          <w:lang w:eastAsia="en-US" w:bidi="ar-SA"/>
        </w:rPr>
        <w:t>- растяжка с захватом голени из положения лежа на спине.</w:t>
      </w:r>
    </w:p>
    <w:sectPr>
      <w:pgSz w:w="11906" w:h="16838"/>
      <w:pgMar w:top="1134" w:right="707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986133"/>
      <w:docPartObj>
        <w:docPartGallery w:val="AutoText"/>
      </w:docPartObj>
    </w:sdtPr>
    <w:sdtContent>
      <w:p w14:paraId="387CD078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BC1E3B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E1A"/>
    <w:rsid w:val="000377AA"/>
    <w:rsid w:val="00266CCF"/>
    <w:rsid w:val="0028408D"/>
    <w:rsid w:val="0032247B"/>
    <w:rsid w:val="004C10F6"/>
    <w:rsid w:val="004D3538"/>
    <w:rsid w:val="005230C6"/>
    <w:rsid w:val="005B3FFB"/>
    <w:rsid w:val="0064524C"/>
    <w:rsid w:val="00687618"/>
    <w:rsid w:val="0077594F"/>
    <w:rsid w:val="00845A43"/>
    <w:rsid w:val="00863778"/>
    <w:rsid w:val="00942342"/>
    <w:rsid w:val="00AC5826"/>
    <w:rsid w:val="00CF33A7"/>
    <w:rsid w:val="00D92E88"/>
    <w:rsid w:val="00DD7F6C"/>
    <w:rsid w:val="00E11E1A"/>
    <w:rsid w:val="00E64FDE"/>
    <w:rsid w:val="00F378D2"/>
    <w:rsid w:val="00FB72E8"/>
    <w:rsid w:val="73E1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pacing w:after="0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link w:val="9"/>
    <w:unhideWhenUsed/>
    <w:qFormat/>
    <w:uiPriority w:val="99"/>
    <w:pPr>
      <w:spacing w:after="120" w:line="480" w:lineRule="auto"/>
    </w:pPr>
  </w:style>
  <w:style w:type="paragraph" w:styleId="5">
    <w:name w:val="footer"/>
    <w:basedOn w:val="1"/>
    <w:link w:val="8"/>
    <w:unhideWhenUsed/>
    <w:qFormat/>
    <w:uiPriority w:val="99"/>
    <w:pPr>
      <w:tabs>
        <w:tab w:val="center" w:pos="4677"/>
        <w:tab w:val="right" w:pos="9355"/>
      </w:tabs>
    </w:pPr>
  </w:style>
  <w:style w:type="paragraph" w:customStyle="1" w:styleId="6">
    <w:name w:val="Основной текст5"/>
    <w:basedOn w:val="1"/>
    <w:link w:val="7"/>
    <w:qFormat/>
    <w:uiPriority w:val="0"/>
    <w:pPr>
      <w:shd w:val="clear" w:color="auto" w:fill="FFFFFF"/>
      <w:spacing w:line="322" w:lineRule="exact"/>
      <w:ind w:hanging="2680"/>
      <w:jc w:val="center"/>
    </w:pPr>
    <w:rPr>
      <w:rFonts w:ascii="Times New Roman" w:hAnsi="Times New Roman" w:eastAsia="Times New Roman" w:cs="Times New Roman"/>
      <w:sz w:val="26"/>
      <w:szCs w:val="26"/>
    </w:rPr>
  </w:style>
  <w:style w:type="character" w:customStyle="1" w:styleId="7">
    <w:name w:val="Основной текст_"/>
    <w:basedOn w:val="2"/>
    <w:link w:val="6"/>
    <w:qFormat/>
    <w:uiPriority w:val="0"/>
    <w:rPr>
      <w:rFonts w:eastAsia="Times New Roman"/>
      <w:color w:val="000000"/>
      <w:sz w:val="26"/>
      <w:szCs w:val="26"/>
      <w:shd w:val="clear" w:color="auto" w:fill="FFFFFF"/>
      <w:lang w:eastAsia="ru-RU" w:bidi="ru-RU"/>
    </w:rPr>
  </w:style>
  <w:style w:type="character" w:customStyle="1" w:styleId="8">
    <w:name w:val="Нижний колонтитул Знак"/>
    <w:basedOn w:val="2"/>
    <w:link w:val="5"/>
    <w:qFormat/>
    <w:uiPriority w:val="99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  <w:style w:type="character" w:customStyle="1" w:styleId="9">
    <w:name w:val="Основной текст 2 Знак"/>
    <w:basedOn w:val="2"/>
    <w:link w:val="4"/>
    <w:qFormat/>
    <w:uiPriority w:val="99"/>
    <w:rPr>
      <w:rFonts w:ascii="Arial Unicode MS" w:hAnsi="Arial Unicode MS" w:eastAsia="Arial Unicode MS" w:cs="Arial Unicode MS"/>
      <w:color w:val="000000"/>
      <w:sz w:val="24"/>
      <w:szCs w:val="24"/>
      <w:lang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FE0BC-56CA-4233-9119-2158FDC46D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8</Pages>
  <Words>918</Words>
  <Characters>5805</Characters>
  <Lines>48</Lines>
  <Paragraphs>13</Paragraphs>
  <TotalTime>1</TotalTime>
  <ScaleCrop>false</ScaleCrop>
  <LinksUpToDate>false</LinksUpToDate>
  <CharactersWithSpaces>6703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2020-09-28T11:22:00Z</dcterms:created>
  <dc:creator>Olga Sladkova</dc:creator>
  <cp:lastModifiedBy>GLIERA-iCL-3</cp:lastModifiedBy>
  <dcterms:modified xsi:type="dcterms:W3CDTF">2026-10-07T14:52:51Z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eyJoZGlkIjoiOTgxZmU4OTJkMzZkYTFkY2Y4ZmY4MTM5NmQ5ZmI1MTIifQ==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EF410B267D1D483CA53F9C3B1E5BC377_13</vt:lpwstr>
  </property>
</Properties>
</file>